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041A" w14:textId="326442EB" w:rsidR="007F330A" w:rsidRDefault="007F330A">
      <w:pPr>
        <w:rPr>
          <w:b/>
          <w:bCs/>
          <w:u w:val="single"/>
        </w:rPr>
      </w:pPr>
      <w:r w:rsidRPr="007F330A">
        <w:rPr>
          <w:b/>
          <w:bCs/>
          <w:u w:val="single"/>
        </w:rPr>
        <w:t xml:space="preserve">Sproughton Neighbourhood Plan Meeting Minutes: </w:t>
      </w:r>
      <w:r w:rsidR="00B63972">
        <w:rPr>
          <w:b/>
          <w:bCs/>
          <w:u w:val="single"/>
        </w:rPr>
        <w:t>18/05</w:t>
      </w:r>
      <w:r w:rsidR="002F5731">
        <w:rPr>
          <w:b/>
          <w:bCs/>
          <w:u w:val="single"/>
        </w:rPr>
        <w:t>/21</w:t>
      </w:r>
    </w:p>
    <w:p w14:paraId="4861420C" w14:textId="77777777" w:rsidR="007F330A" w:rsidRDefault="007F330A">
      <w:pPr>
        <w:rPr>
          <w:b/>
          <w:bCs/>
          <w:u w:val="single"/>
        </w:rPr>
      </w:pPr>
    </w:p>
    <w:p w14:paraId="562F8FB7" w14:textId="3A175D81" w:rsidR="007F330A" w:rsidRDefault="007F330A">
      <w:r>
        <w:t xml:space="preserve">Meeting commenced at </w:t>
      </w:r>
      <w:r w:rsidR="00830255">
        <w:t>17.3</w:t>
      </w:r>
      <w:r w:rsidR="002F5731">
        <w:t>5</w:t>
      </w:r>
      <w:r w:rsidR="00B41DC7">
        <w:t xml:space="preserve"> at Barley Room, Tithe Barn. </w:t>
      </w:r>
    </w:p>
    <w:p w14:paraId="2291CBA9" w14:textId="0F191DE2" w:rsidR="005C1BDA" w:rsidRDefault="005C1BDA">
      <w:r>
        <w:t>Present – Rhona</w:t>
      </w:r>
      <w:r w:rsidR="00C43F61">
        <w:t>,</w:t>
      </w:r>
      <w:r>
        <w:t xml:space="preserve"> Helen</w:t>
      </w:r>
      <w:r w:rsidR="00C43F61">
        <w:t xml:space="preserve">, </w:t>
      </w:r>
      <w:r>
        <w:t>Ken</w:t>
      </w:r>
      <w:r w:rsidR="00C43F61">
        <w:t xml:space="preserve">, </w:t>
      </w:r>
      <w:r>
        <w:t>Sharon</w:t>
      </w:r>
      <w:r w:rsidR="00830255">
        <w:t>, Ian</w:t>
      </w:r>
      <w:r>
        <w:t xml:space="preserve"> and Abbe </w:t>
      </w:r>
    </w:p>
    <w:p w14:paraId="79A932A6" w14:textId="78EB3E5D" w:rsidR="007F330A" w:rsidRDefault="007F330A">
      <w:r>
        <w:t xml:space="preserve">Apologies – Simon Curl </w:t>
      </w:r>
    </w:p>
    <w:p w14:paraId="6B08FBF8" w14:textId="77777777" w:rsidR="007F330A" w:rsidRDefault="007F330A">
      <w:r>
        <w:t xml:space="preserve">Declaration of interest for any item on the agenda – none raised </w:t>
      </w:r>
    </w:p>
    <w:p w14:paraId="52B74810" w14:textId="77777777" w:rsidR="007F330A" w:rsidRPr="007F330A" w:rsidRDefault="007F330A">
      <w:r>
        <w:t xml:space="preserve">Declaration of any pecuniary interest – none raised </w:t>
      </w:r>
    </w:p>
    <w:p w14:paraId="5C54681A" w14:textId="194C9743" w:rsidR="007F330A" w:rsidRDefault="007F330A">
      <w:r>
        <w:t xml:space="preserve">Previous </w:t>
      </w:r>
      <w:r w:rsidR="002213DE">
        <w:t>meetings</w:t>
      </w:r>
      <w:r>
        <w:t xml:space="preserve"> minutes </w:t>
      </w:r>
      <w:r w:rsidR="00B41DC7">
        <w:t xml:space="preserve">proposed by Ken and seconded by Helen. </w:t>
      </w:r>
      <w:r w:rsidR="002F5731">
        <w:t xml:space="preserve"> </w:t>
      </w:r>
    </w:p>
    <w:p w14:paraId="2D2A8291" w14:textId="37528D32" w:rsidR="007F330A" w:rsidRDefault="007F330A"/>
    <w:p w14:paraId="3A4F4F6D" w14:textId="77777777" w:rsidR="00533871" w:rsidRDefault="00533871" w:rsidP="000F6A69"/>
    <w:p w14:paraId="244EB54E" w14:textId="1030CEF8" w:rsidR="00533871" w:rsidRDefault="00745BD2" w:rsidP="00745BD2">
      <w:r>
        <w:t xml:space="preserve">Public Consultation: </w:t>
      </w:r>
    </w:p>
    <w:p w14:paraId="3B80C5DA" w14:textId="79F69059" w:rsidR="00745BD2" w:rsidRDefault="00745BD2" w:rsidP="00745BD2">
      <w:pPr>
        <w:pStyle w:val="ListParagraph"/>
        <w:numPr>
          <w:ilvl w:val="0"/>
          <w:numId w:val="18"/>
        </w:numPr>
      </w:pPr>
      <w:r>
        <w:t>Date of 18</w:t>
      </w:r>
      <w:r w:rsidRPr="00745BD2">
        <w:rPr>
          <w:vertAlign w:val="superscript"/>
        </w:rPr>
        <w:t>th</w:t>
      </w:r>
      <w:r>
        <w:t xml:space="preserve"> / 19</w:t>
      </w:r>
      <w:r w:rsidRPr="00745BD2">
        <w:rPr>
          <w:vertAlign w:val="superscript"/>
        </w:rPr>
        <w:t>th</w:t>
      </w:r>
      <w:r>
        <w:t xml:space="preserve"> of June </w:t>
      </w:r>
      <w:r w:rsidR="003A7C53">
        <w:t xml:space="preserve">initially </w:t>
      </w:r>
      <w:r w:rsidR="00DF6D15">
        <w:t>proposed, agreed in principle subject to the SPC Clerk confirming it adhere</w:t>
      </w:r>
      <w:r w:rsidR="007E7CC4">
        <w:t>s</w:t>
      </w:r>
      <w:r w:rsidR="00DF6D15">
        <w:t xml:space="preserve"> to Govt. </w:t>
      </w:r>
      <w:r w:rsidR="007E7CC4">
        <w:t xml:space="preserve">Guidelines. Date </w:t>
      </w:r>
      <w:r w:rsidR="003A7C53">
        <w:t xml:space="preserve">for meeting </w:t>
      </w:r>
      <w:r w:rsidR="008E70C5">
        <w:t xml:space="preserve">subsequently pushed back to *** following advice from Ian that the draft plan with need to be completed first and submitted to SPC for </w:t>
      </w:r>
      <w:r w:rsidR="00B82A9E">
        <w:t xml:space="preserve">consultation. </w:t>
      </w:r>
    </w:p>
    <w:p w14:paraId="030CAD6F" w14:textId="35A82227" w:rsidR="00B82A9E" w:rsidRDefault="00B82A9E" w:rsidP="00745BD2">
      <w:pPr>
        <w:pStyle w:val="ListParagraph"/>
        <w:numPr>
          <w:ilvl w:val="0"/>
          <w:numId w:val="18"/>
        </w:numPr>
      </w:pPr>
      <w:r>
        <w:t xml:space="preserve">Ian to produced boards for exhibition. </w:t>
      </w:r>
    </w:p>
    <w:p w14:paraId="3DA57268" w14:textId="5E10F186" w:rsidR="00A3505E" w:rsidRDefault="00A3505E" w:rsidP="00A3505E"/>
    <w:p w14:paraId="4B0E9A04" w14:textId="17B96609" w:rsidR="00A3505E" w:rsidRDefault="00A3505E" w:rsidP="00A3505E">
      <w:r>
        <w:t xml:space="preserve">Update from Ian: </w:t>
      </w:r>
    </w:p>
    <w:p w14:paraId="3E8C2D07" w14:textId="22A84381" w:rsidR="00A3505E" w:rsidRPr="001A55B2" w:rsidRDefault="00A3505E" w:rsidP="00A3505E">
      <w:pPr>
        <w:rPr>
          <w:color w:val="000000" w:themeColor="text1"/>
        </w:rPr>
      </w:pPr>
    </w:p>
    <w:p w14:paraId="2164B38C" w14:textId="5A4CB577" w:rsidR="00A763F8" w:rsidRPr="001A55B2" w:rsidRDefault="00A3505E" w:rsidP="00A763F8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1A55B2">
        <w:rPr>
          <w:color w:val="000000" w:themeColor="text1"/>
        </w:rPr>
        <w:t>He has very nearly finished the review</w:t>
      </w:r>
      <w:r w:rsidR="00B37960" w:rsidRPr="001A55B2">
        <w:rPr>
          <w:color w:val="000000" w:themeColor="text1"/>
        </w:rPr>
        <w:t xml:space="preserve"> of the initial draft with </w:t>
      </w:r>
      <w:r w:rsidR="00A763F8" w:rsidRPr="001A55B2">
        <w:rPr>
          <w:color w:val="000000" w:themeColor="text1"/>
        </w:rPr>
        <w:t>Infrastructure &amp; Services and Highways outstanding.</w:t>
      </w:r>
    </w:p>
    <w:p w14:paraId="4BDA84E6" w14:textId="5E84A64B" w:rsidR="00A763F8" w:rsidRPr="001A55B2" w:rsidRDefault="00A763F8" w:rsidP="00A763F8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1A55B2">
        <w:rPr>
          <w:color w:val="000000" w:themeColor="text1"/>
        </w:rPr>
        <w:t xml:space="preserve">Sproughton Past and Present needs a little more work but Ian is willing to action this as well. </w:t>
      </w:r>
      <w:r w:rsidR="00BF2CAC">
        <w:rPr>
          <w:color w:val="000000" w:themeColor="text1"/>
        </w:rPr>
        <w:t xml:space="preserve">There needs to be refence to the different </w:t>
      </w:r>
      <w:r w:rsidR="00B930EF">
        <w:rPr>
          <w:color w:val="000000" w:themeColor="text1"/>
        </w:rPr>
        <w:t xml:space="preserve">zones that constitute Sproughton e.g. Hadleigh Road Community, </w:t>
      </w:r>
      <w:r w:rsidR="00FE040E">
        <w:rPr>
          <w:color w:val="000000" w:themeColor="text1"/>
        </w:rPr>
        <w:t>Employment Area etc</w:t>
      </w:r>
      <w:r w:rsidR="00F24497">
        <w:rPr>
          <w:color w:val="000000" w:themeColor="text1"/>
        </w:rPr>
        <w:t xml:space="preserve"> in the introduction and earlier on in the NP document. </w:t>
      </w:r>
    </w:p>
    <w:p w14:paraId="7A492CD7" w14:textId="1E5DD8CF" w:rsidR="00B81556" w:rsidRPr="001A55B2" w:rsidRDefault="00B81556" w:rsidP="00A763F8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1A55B2">
        <w:rPr>
          <w:color w:val="000000" w:themeColor="text1"/>
        </w:rPr>
        <w:t xml:space="preserve">Ian’s proposal is for the NP to be ready as soon as the </w:t>
      </w:r>
      <w:r w:rsidR="00C5126E" w:rsidRPr="001A55B2">
        <w:rPr>
          <w:color w:val="000000" w:themeColor="text1"/>
        </w:rPr>
        <w:t xml:space="preserve">new </w:t>
      </w:r>
      <w:r w:rsidRPr="001A55B2">
        <w:rPr>
          <w:color w:val="000000" w:themeColor="text1"/>
        </w:rPr>
        <w:t xml:space="preserve">JLP is published </w:t>
      </w:r>
      <w:r w:rsidR="00C5126E" w:rsidRPr="001A55B2">
        <w:rPr>
          <w:color w:val="000000" w:themeColor="text1"/>
        </w:rPr>
        <w:t xml:space="preserve">so that it is </w:t>
      </w:r>
      <w:r w:rsidR="00C42E96">
        <w:rPr>
          <w:color w:val="000000" w:themeColor="text1"/>
        </w:rPr>
        <w:t xml:space="preserve">fully up to date. </w:t>
      </w:r>
    </w:p>
    <w:p w14:paraId="7CB20EF2" w14:textId="62E40E5E" w:rsidR="001A55B2" w:rsidRPr="00E339C1" w:rsidRDefault="000C38D5" w:rsidP="001A55B2">
      <w:pPr>
        <w:pStyle w:val="ListParagraph"/>
        <w:numPr>
          <w:ilvl w:val="0"/>
          <w:numId w:val="19"/>
        </w:numPr>
        <w:rPr>
          <w:color w:val="00B0F0"/>
        </w:rPr>
      </w:pPr>
      <w:r w:rsidRPr="001A55B2">
        <w:rPr>
          <w:color w:val="000000" w:themeColor="text1"/>
        </w:rPr>
        <w:t xml:space="preserve">Ian advises there are too many </w:t>
      </w:r>
      <w:r w:rsidR="00AB314E" w:rsidRPr="001A55B2">
        <w:rPr>
          <w:color w:val="000000" w:themeColor="text1"/>
        </w:rPr>
        <w:t>o</w:t>
      </w:r>
      <w:r w:rsidRPr="001A55B2">
        <w:rPr>
          <w:color w:val="000000" w:themeColor="text1"/>
        </w:rPr>
        <w:t>bjectives in the</w:t>
      </w:r>
      <w:r w:rsidR="00AB314E" w:rsidRPr="001A55B2">
        <w:rPr>
          <w:color w:val="000000" w:themeColor="text1"/>
        </w:rPr>
        <w:t xml:space="preserve"> plan (25). </w:t>
      </w:r>
      <w:r w:rsidR="009B65AA" w:rsidRPr="001A55B2">
        <w:rPr>
          <w:color w:val="000000" w:themeColor="text1"/>
        </w:rPr>
        <w:t xml:space="preserve">These need to be slimmed down and aligned with the policies. The objectives should be </w:t>
      </w:r>
      <w:r w:rsidR="00047336" w:rsidRPr="001A55B2">
        <w:rPr>
          <w:color w:val="000000" w:themeColor="text1"/>
        </w:rPr>
        <w:t>“the top of the p</w:t>
      </w:r>
      <w:r w:rsidR="007A4D9D" w:rsidRPr="001A55B2">
        <w:rPr>
          <w:color w:val="000000" w:themeColor="text1"/>
        </w:rPr>
        <w:t xml:space="preserve">yramid” with the polices flowing out from these, at the moment the pyramid is inverted. </w:t>
      </w:r>
      <w:r w:rsidR="000B6334" w:rsidRPr="001A55B2">
        <w:rPr>
          <w:color w:val="000000" w:themeColor="text1"/>
        </w:rPr>
        <w:t>I</w:t>
      </w:r>
      <w:r w:rsidR="001A55B2" w:rsidRPr="001A55B2">
        <w:rPr>
          <w:color w:val="000000" w:themeColor="text1"/>
        </w:rPr>
        <w:t>an</w:t>
      </w:r>
      <w:r w:rsidR="000B6334" w:rsidRPr="001A55B2">
        <w:rPr>
          <w:color w:val="000000" w:themeColor="text1"/>
        </w:rPr>
        <w:t xml:space="preserve"> suggested</w:t>
      </w:r>
      <w:r w:rsidR="001A55B2" w:rsidRPr="001A55B2">
        <w:rPr>
          <w:color w:val="000000" w:themeColor="text1"/>
        </w:rPr>
        <w:t xml:space="preserve"> looking at where there is duplication in the objectives and what can be combined.</w:t>
      </w:r>
      <w:r w:rsidR="000B6334" w:rsidRPr="001A55B2">
        <w:rPr>
          <w:color w:val="000000" w:themeColor="text1"/>
        </w:rPr>
        <w:t xml:space="preserve"> </w:t>
      </w:r>
      <w:r w:rsidR="007A4D9D" w:rsidRPr="00E339C1">
        <w:rPr>
          <w:color w:val="00B0F0"/>
        </w:rPr>
        <w:t xml:space="preserve">Team Action review the </w:t>
      </w:r>
      <w:r w:rsidR="000B6334" w:rsidRPr="00E339C1">
        <w:rPr>
          <w:color w:val="00B0F0"/>
        </w:rPr>
        <w:t xml:space="preserve">polices and objectives in the current draft in conjunction with those in the Copdock plan. </w:t>
      </w:r>
    </w:p>
    <w:p w14:paraId="620828D4" w14:textId="35B39F5B" w:rsidR="001A55B2" w:rsidRDefault="00051059" w:rsidP="001A55B2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Suggestion for a table </w:t>
      </w:r>
      <w:r w:rsidR="00A765E1">
        <w:rPr>
          <w:color w:val="000000" w:themeColor="text1"/>
        </w:rPr>
        <w:t>in</w:t>
      </w:r>
      <w:r>
        <w:rPr>
          <w:color w:val="000000" w:themeColor="text1"/>
        </w:rPr>
        <w:t xml:space="preserve"> the plan detailing each </w:t>
      </w:r>
      <w:r w:rsidR="00A765E1">
        <w:rPr>
          <w:color w:val="000000" w:themeColor="text1"/>
        </w:rPr>
        <w:t xml:space="preserve">objective and what policies stem from it. </w:t>
      </w:r>
    </w:p>
    <w:p w14:paraId="46F540B9" w14:textId="18AAD723" w:rsidR="002F5ACA" w:rsidRDefault="002F5ACA" w:rsidP="001A55B2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Ian advised he has adjusted the housing section as he feels it flows better now and has updated it with the latest government advice. </w:t>
      </w:r>
    </w:p>
    <w:p w14:paraId="39F32275" w14:textId="51E8FA35" w:rsidR="001A55B2" w:rsidRDefault="00A3631A" w:rsidP="009552F3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Section on area of local landscape sensitivity is to be review by Ian, suggestion for further piece of work to be completed by Alison Fa</w:t>
      </w:r>
      <w:r w:rsidR="00A11674">
        <w:rPr>
          <w:color w:val="000000" w:themeColor="text1"/>
        </w:rPr>
        <w:t xml:space="preserve">rmer, finance dependant, SPC maybe able to assist? </w:t>
      </w:r>
      <w:r w:rsidR="00E339C1" w:rsidRPr="00E339C1">
        <w:rPr>
          <w:color w:val="00B0F0"/>
        </w:rPr>
        <w:t xml:space="preserve">Action approach SPC re funding for additional work. </w:t>
      </w:r>
    </w:p>
    <w:p w14:paraId="1C610159" w14:textId="7A780A4D" w:rsidR="009552F3" w:rsidRDefault="009552F3" w:rsidP="009552F3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Special Character Area requires review and </w:t>
      </w:r>
      <w:r w:rsidR="005E35CC">
        <w:rPr>
          <w:color w:val="000000" w:themeColor="text1"/>
        </w:rPr>
        <w:t>balancing</w:t>
      </w:r>
      <w:r>
        <w:rPr>
          <w:color w:val="000000" w:themeColor="text1"/>
        </w:rPr>
        <w:t xml:space="preserve"> with </w:t>
      </w:r>
      <w:r w:rsidR="005E35CC">
        <w:rPr>
          <w:color w:val="000000" w:themeColor="text1"/>
        </w:rPr>
        <w:t xml:space="preserve">Built Environment Character Areas. </w:t>
      </w:r>
    </w:p>
    <w:p w14:paraId="6A3033BE" w14:textId="7BA0F4E9" w:rsidR="00FE040E" w:rsidRDefault="00FE040E" w:rsidP="009552F3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Ian requested a narrative on the Wildman Public House – </w:t>
      </w:r>
      <w:r w:rsidRPr="00F24497">
        <w:rPr>
          <w:color w:val="00B0F0"/>
        </w:rPr>
        <w:t xml:space="preserve">RJ to action. </w:t>
      </w:r>
    </w:p>
    <w:p w14:paraId="68E09B0F" w14:textId="5302FAFA" w:rsidR="00FE040E" w:rsidRDefault="006E09E5" w:rsidP="009552F3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Highways and Movement – Ian has requested a wish list for this topic. </w:t>
      </w:r>
      <w:r w:rsidRPr="00E339C1">
        <w:rPr>
          <w:color w:val="00B0F0"/>
        </w:rPr>
        <w:t xml:space="preserve">Team action – brainstorm to provide a wish list </w:t>
      </w:r>
      <w:r w:rsidR="00AC629F" w:rsidRPr="00E339C1">
        <w:rPr>
          <w:color w:val="00B0F0"/>
        </w:rPr>
        <w:t xml:space="preserve">to include locations of footpaths / </w:t>
      </w:r>
      <w:r w:rsidR="005B3E7D" w:rsidRPr="00E339C1">
        <w:rPr>
          <w:color w:val="00B0F0"/>
        </w:rPr>
        <w:t xml:space="preserve">cycle paths / </w:t>
      </w:r>
      <w:r w:rsidR="00A574AE" w:rsidRPr="00E339C1">
        <w:rPr>
          <w:color w:val="00B0F0"/>
        </w:rPr>
        <w:t xml:space="preserve">crossings / </w:t>
      </w:r>
      <w:r w:rsidR="005B3E7D" w:rsidRPr="00E339C1">
        <w:rPr>
          <w:color w:val="00B0F0"/>
        </w:rPr>
        <w:t xml:space="preserve">improvement to pedestrian paths / speed limits </w:t>
      </w:r>
      <w:r w:rsidR="00227A55" w:rsidRPr="00E339C1">
        <w:rPr>
          <w:color w:val="00B0F0"/>
        </w:rPr>
        <w:t xml:space="preserve">/ width restrictions </w:t>
      </w:r>
      <w:r w:rsidR="00A574AE" w:rsidRPr="00E339C1">
        <w:rPr>
          <w:color w:val="00B0F0"/>
        </w:rPr>
        <w:t xml:space="preserve">etc. </w:t>
      </w:r>
    </w:p>
    <w:p w14:paraId="34631878" w14:textId="68865E68" w:rsidR="00794C7E" w:rsidRDefault="0069264B" w:rsidP="009552F3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F24497">
        <w:rPr>
          <w:color w:val="00B0F0"/>
        </w:rPr>
        <w:t xml:space="preserve">Transport diagram required in Highways section showing new Pigeon Road. </w:t>
      </w:r>
      <w:r w:rsidR="00F24497">
        <w:rPr>
          <w:color w:val="00B0F0"/>
        </w:rPr>
        <w:t xml:space="preserve">IP action. </w:t>
      </w:r>
      <w:r w:rsidR="00C42E96">
        <w:rPr>
          <w:color w:val="000000" w:themeColor="text1"/>
        </w:rPr>
        <w:t xml:space="preserve">Also consider footpaths on the Taylor Wimpy sites. </w:t>
      </w:r>
    </w:p>
    <w:p w14:paraId="4B5604E1" w14:textId="05E09C11" w:rsidR="00C95BC1" w:rsidRDefault="00C95BC1" w:rsidP="00FC7A2A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Community actions from consultation need to be listed under relevant sections e</w:t>
      </w:r>
      <w:r w:rsidR="00F060C4">
        <w:rPr>
          <w:color w:val="000000" w:themeColor="text1"/>
        </w:rPr>
        <w:t>.</w:t>
      </w:r>
      <w:r>
        <w:rPr>
          <w:color w:val="000000" w:themeColor="text1"/>
        </w:rPr>
        <w:t>g.</w:t>
      </w:r>
      <w:r w:rsidR="00F060C4">
        <w:rPr>
          <w:color w:val="000000" w:themeColor="text1"/>
        </w:rPr>
        <w:t xml:space="preserve"> park bench for Millennium Green</w:t>
      </w:r>
      <w:r>
        <w:rPr>
          <w:color w:val="000000" w:themeColor="text1"/>
        </w:rPr>
        <w:t xml:space="preserve"> </w:t>
      </w:r>
      <w:r w:rsidR="00F060C4">
        <w:rPr>
          <w:color w:val="000000" w:themeColor="text1"/>
        </w:rPr>
        <w:t xml:space="preserve">to be recorded under </w:t>
      </w:r>
      <w:r w:rsidR="00FC7A2A">
        <w:rPr>
          <w:color w:val="000000" w:themeColor="text1"/>
        </w:rPr>
        <w:t>G</w:t>
      </w:r>
      <w:r w:rsidR="00F060C4">
        <w:rPr>
          <w:color w:val="000000" w:themeColor="text1"/>
        </w:rPr>
        <w:t xml:space="preserve">reen </w:t>
      </w:r>
      <w:r w:rsidR="00FC7A2A">
        <w:rPr>
          <w:color w:val="000000" w:themeColor="text1"/>
        </w:rPr>
        <w:t>S</w:t>
      </w:r>
      <w:r w:rsidR="00F060C4" w:rsidRPr="00FC7A2A">
        <w:rPr>
          <w:color w:val="000000" w:themeColor="text1"/>
        </w:rPr>
        <w:t xml:space="preserve">paces. </w:t>
      </w:r>
      <w:r w:rsidR="001C3F10" w:rsidRPr="00FC7A2A">
        <w:rPr>
          <w:color w:val="000000" w:themeColor="text1"/>
        </w:rPr>
        <w:t>Pedestrian crossing opposite shop to be listed Highway</w:t>
      </w:r>
      <w:r w:rsidR="00FC7A2A" w:rsidRPr="00FC7A2A">
        <w:rPr>
          <w:color w:val="000000" w:themeColor="text1"/>
        </w:rPr>
        <w:t xml:space="preserve">s and Movement. </w:t>
      </w:r>
    </w:p>
    <w:p w14:paraId="461AE2B7" w14:textId="77DC3DD8" w:rsidR="00FC7A2A" w:rsidRDefault="00FC7A2A" w:rsidP="00FC7A2A">
      <w:pPr>
        <w:rPr>
          <w:color w:val="000000" w:themeColor="text1"/>
        </w:rPr>
      </w:pPr>
      <w:r>
        <w:rPr>
          <w:color w:val="000000" w:themeColor="text1"/>
        </w:rPr>
        <w:t>Next Steps:</w:t>
      </w:r>
    </w:p>
    <w:p w14:paraId="573D9143" w14:textId="36F582EF" w:rsidR="00FC7A2A" w:rsidRDefault="009C3BE4" w:rsidP="00FC7A2A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SPC needs to consult on plan before public consultation is proceeded with. </w:t>
      </w:r>
    </w:p>
    <w:p w14:paraId="03ACDEAC" w14:textId="30F8252A" w:rsidR="009C3BE4" w:rsidRDefault="00D676CA" w:rsidP="00FC7A2A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Proposal for</w:t>
      </w:r>
      <w:r w:rsidR="009C3BE4">
        <w:rPr>
          <w:color w:val="000000" w:themeColor="text1"/>
        </w:rPr>
        <w:t xml:space="preserve"> ex</w:t>
      </w:r>
      <w:r w:rsidR="001A3B7C">
        <w:rPr>
          <w:color w:val="000000" w:themeColor="text1"/>
        </w:rPr>
        <w:t>t</w:t>
      </w:r>
      <w:r>
        <w:rPr>
          <w:color w:val="000000" w:themeColor="text1"/>
        </w:rPr>
        <w:t>ra</w:t>
      </w:r>
      <w:r w:rsidR="001A3B7C">
        <w:rPr>
          <w:color w:val="000000" w:themeColor="text1"/>
        </w:rPr>
        <w:t xml:space="preserve">ordinary </w:t>
      </w:r>
      <w:r>
        <w:rPr>
          <w:color w:val="000000" w:themeColor="text1"/>
        </w:rPr>
        <w:t xml:space="preserve">meeting of SPC for such purpose. </w:t>
      </w:r>
    </w:p>
    <w:p w14:paraId="3AB67D4C" w14:textId="1EA6F8D1" w:rsidR="00DA1D49" w:rsidRDefault="00DA1D49" w:rsidP="00FC7A2A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Next meeting of SPC 11</w:t>
      </w:r>
      <w:r w:rsidRPr="00DA1D4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June 2021 – to be provided with a copy of the plan with the following caveats</w:t>
      </w:r>
      <w:r w:rsidR="007A6BAD">
        <w:rPr>
          <w:color w:val="000000" w:themeColor="text1"/>
        </w:rPr>
        <w:t xml:space="preserve"> to meet expectations</w:t>
      </w:r>
      <w:r>
        <w:rPr>
          <w:color w:val="000000" w:themeColor="text1"/>
        </w:rPr>
        <w:t>:</w:t>
      </w:r>
    </w:p>
    <w:p w14:paraId="6C800577" w14:textId="57E78F09" w:rsidR="00DA1D49" w:rsidRDefault="00DB77BF" w:rsidP="00DA1D49">
      <w:pPr>
        <w:pStyle w:val="ListParagraph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>Policies will not be subject to change.</w:t>
      </w:r>
    </w:p>
    <w:p w14:paraId="69673804" w14:textId="3900D9EF" w:rsidR="00DB77BF" w:rsidRDefault="00DB77BF" w:rsidP="00DA1D49">
      <w:pPr>
        <w:pStyle w:val="ListParagraph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Community actions may change </w:t>
      </w:r>
    </w:p>
    <w:p w14:paraId="33006FFE" w14:textId="06A42B44" w:rsidR="00DB77BF" w:rsidRDefault="007A6BAD" w:rsidP="00DA1D49">
      <w:pPr>
        <w:pStyle w:val="ListParagraph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Supporting text is subject to amendment. </w:t>
      </w:r>
    </w:p>
    <w:p w14:paraId="28B7E68F" w14:textId="5925369E" w:rsidR="004E07A7" w:rsidRDefault="004E07A7" w:rsidP="004E07A7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Once in possession of plan SPC have three weeks to review then the </w:t>
      </w:r>
      <w:r w:rsidR="0059161B">
        <w:rPr>
          <w:color w:val="000000" w:themeColor="text1"/>
        </w:rPr>
        <w:t xml:space="preserve">formal public consultation can begin. </w:t>
      </w:r>
    </w:p>
    <w:p w14:paraId="03AD3474" w14:textId="4471D415" w:rsidR="0059161B" w:rsidRDefault="0059161B" w:rsidP="004E07A7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Ian will provide a </w:t>
      </w:r>
      <w:r w:rsidR="00032A3A">
        <w:rPr>
          <w:color w:val="000000" w:themeColor="text1"/>
        </w:rPr>
        <w:t xml:space="preserve">A3 / double sided leaflet </w:t>
      </w:r>
      <w:r w:rsidR="00BD3A46">
        <w:rPr>
          <w:color w:val="000000" w:themeColor="text1"/>
        </w:rPr>
        <w:t xml:space="preserve">ready for </w:t>
      </w:r>
      <w:r w:rsidR="002E1628">
        <w:rPr>
          <w:color w:val="000000" w:themeColor="text1"/>
        </w:rPr>
        <w:t>leaflet drop.</w:t>
      </w:r>
    </w:p>
    <w:p w14:paraId="14539DA3" w14:textId="42839443" w:rsidR="00AB4F7B" w:rsidRDefault="00AB4F7B" w:rsidP="004E07A7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Once SPC have approved (2</w:t>
      </w:r>
      <w:r w:rsidRPr="00AB4F7B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of July?) three further weeks are required </w:t>
      </w:r>
      <w:r w:rsidR="00EA5AD4">
        <w:rPr>
          <w:color w:val="000000" w:themeColor="text1"/>
        </w:rPr>
        <w:t>for consultation</w:t>
      </w:r>
      <w:r w:rsidR="006D0B7F">
        <w:rPr>
          <w:color w:val="000000" w:themeColor="text1"/>
        </w:rPr>
        <w:t xml:space="preserve"> by parish council</w:t>
      </w:r>
      <w:r w:rsidR="0054187F">
        <w:rPr>
          <w:color w:val="000000" w:themeColor="text1"/>
        </w:rPr>
        <w:t>.</w:t>
      </w:r>
    </w:p>
    <w:p w14:paraId="4A6B835E" w14:textId="51AA260D" w:rsidR="0054187F" w:rsidRDefault="0054187F" w:rsidP="0054187F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Aim for 23</w:t>
      </w:r>
      <w:r w:rsidRPr="0054187F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of July plan printed and ready to go and start of 6 week consultation, actual  start is the date of the drop in event. </w:t>
      </w:r>
    </w:p>
    <w:p w14:paraId="64B0C1CA" w14:textId="024B301C" w:rsidR="0054187F" w:rsidRDefault="00E724BE" w:rsidP="004E07A7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During this period external agencies will be consulted at the same time. </w:t>
      </w:r>
    </w:p>
    <w:p w14:paraId="1981562D" w14:textId="452150E2" w:rsidR="00284099" w:rsidRDefault="00284099" w:rsidP="004E07A7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Comments leaflet will need to be provided for the public</w:t>
      </w:r>
      <w:r w:rsidR="00712534">
        <w:rPr>
          <w:color w:val="000000" w:themeColor="text1"/>
        </w:rPr>
        <w:t xml:space="preserve"> as well as an online comment facility to be arranged by Ian. </w:t>
      </w:r>
    </w:p>
    <w:p w14:paraId="2A28C073" w14:textId="4A245125" w:rsidR="00712534" w:rsidRPr="00E8429A" w:rsidRDefault="00712534" w:rsidP="004E07A7">
      <w:pPr>
        <w:pStyle w:val="ListParagraph"/>
        <w:numPr>
          <w:ilvl w:val="0"/>
          <w:numId w:val="20"/>
        </w:numPr>
        <w:rPr>
          <w:color w:val="00B0F0"/>
        </w:rPr>
      </w:pPr>
      <w:r w:rsidRPr="00E8429A">
        <w:rPr>
          <w:color w:val="00B0F0"/>
        </w:rPr>
        <w:t xml:space="preserve">Library system for </w:t>
      </w:r>
      <w:r w:rsidR="00CE45E4" w:rsidRPr="00E8429A">
        <w:rPr>
          <w:color w:val="00B0F0"/>
        </w:rPr>
        <w:t xml:space="preserve">copy of </w:t>
      </w:r>
      <w:r w:rsidRPr="00E8429A">
        <w:rPr>
          <w:color w:val="00B0F0"/>
        </w:rPr>
        <w:t xml:space="preserve">the plan to be put in place – action to organise. </w:t>
      </w:r>
      <w:r w:rsidR="00F24497">
        <w:rPr>
          <w:color w:val="00B0F0"/>
        </w:rPr>
        <w:t>RLJ</w:t>
      </w:r>
    </w:p>
    <w:p w14:paraId="4FED5B88" w14:textId="7496916A" w:rsidR="008217CC" w:rsidRDefault="006D0B7F" w:rsidP="004E07A7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Copy of the plan to </w:t>
      </w:r>
      <w:r w:rsidR="00FB2B17">
        <w:rPr>
          <w:color w:val="000000" w:themeColor="text1"/>
        </w:rPr>
        <w:t>BDC around the 3</w:t>
      </w:r>
      <w:r w:rsidR="00FB2B17" w:rsidRPr="00FB2B17">
        <w:rPr>
          <w:color w:val="000000" w:themeColor="text1"/>
          <w:vertAlign w:val="superscript"/>
        </w:rPr>
        <w:t>rd</w:t>
      </w:r>
      <w:r w:rsidR="00FB2B17">
        <w:rPr>
          <w:color w:val="000000" w:themeColor="text1"/>
        </w:rPr>
        <w:t xml:space="preserve"> of September although an extra week maybe </w:t>
      </w:r>
      <w:r w:rsidR="004A15BD">
        <w:rPr>
          <w:color w:val="000000" w:themeColor="text1"/>
        </w:rPr>
        <w:t xml:space="preserve">required due to school holidays. </w:t>
      </w:r>
    </w:p>
    <w:p w14:paraId="4F558B10" w14:textId="7E8A689C" w:rsidR="002C5E0D" w:rsidRDefault="002C5E0D" w:rsidP="004E07A7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Once public consult</w:t>
      </w:r>
      <w:r w:rsidR="00EC217A">
        <w:rPr>
          <w:color w:val="000000" w:themeColor="text1"/>
        </w:rPr>
        <w:t xml:space="preserve">ation has been completed the plan will need to be amended and updated </w:t>
      </w:r>
      <w:r w:rsidR="00077260">
        <w:rPr>
          <w:color w:val="000000" w:themeColor="text1"/>
        </w:rPr>
        <w:t xml:space="preserve">from the comments from the public and a consultation statement completed. The statement will need to contain details of all the methods used to consult the public – leaflet drop / drop in event / media used etc. </w:t>
      </w:r>
      <w:r w:rsidR="00A94BCE">
        <w:rPr>
          <w:color w:val="000000" w:themeColor="text1"/>
        </w:rPr>
        <w:t xml:space="preserve">All public comments need to be recorded in a word table with a corresponding comment as to what action has been taken in regard to the comment. </w:t>
      </w:r>
      <w:r w:rsidR="00E8429A">
        <w:rPr>
          <w:color w:val="000000" w:themeColor="text1"/>
        </w:rPr>
        <w:t xml:space="preserve">3 weeks is set aside for this process. </w:t>
      </w:r>
    </w:p>
    <w:p w14:paraId="33B58F41" w14:textId="3591D37A" w:rsidR="00D2743A" w:rsidRDefault="00D2743A" w:rsidP="004E07A7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Following this the plan goes back to the SPC for approval and then to BDC for examination </w:t>
      </w:r>
      <w:r w:rsidR="00E8429A">
        <w:rPr>
          <w:color w:val="000000" w:themeColor="text1"/>
        </w:rPr>
        <w:t xml:space="preserve">and fact checking </w:t>
      </w:r>
      <w:r>
        <w:rPr>
          <w:color w:val="000000" w:themeColor="text1"/>
        </w:rPr>
        <w:t xml:space="preserve">(further 6 week process.) </w:t>
      </w:r>
    </w:p>
    <w:p w14:paraId="366AB827" w14:textId="5F9F221A" w:rsidR="003038B2" w:rsidRPr="00FE1A03" w:rsidRDefault="003038B2" w:rsidP="004E07A7">
      <w:pPr>
        <w:pStyle w:val="ListParagraph"/>
        <w:numPr>
          <w:ilvl w:val="0"/>
          <w:numId w:val="20"/>
        </w:numPr>
        <w:rPr>
          <w:color w:val="00B0F0"/>
        </w:rPr>
      </w:pPr>
      <w:r w:rsidRPr="00FE1A03">
        <w:rPr>
          <w:color w:val="00B0F0"/>
        </w:rPr>
        <w:t>Ian requested photos for the desktop publishing</w:t>
      </w:r>
      <w:r w:rsidR="0028269F" w:rsidRPr="00FE1A03">
        <w:rPr>
          <w:color w:val="00B0F0"/>
        </w:rPr>
        <w:t>, different pict</w:t>
      </w:r>
      <w:r w:rsidR="00FE1A03" w:rsidRPr="00FE1A03">
        <w:rPr>
          <w:color w:val="00B0F0"/>
        </w:rPr>
        <w:t xml:space="preserve">ures for each topic. </w:t>
      </w:r>
      <w:r w:rsidRPr="00FE1A03">
        <w:rPr>
          <w:color w:val="00B0F0"/>
        </w:rPr>
        <w:t xml:space="preserve"> </w:t>
      </w:r>
      <w:r w:rsidR="0028269F" w:rsidRPr="00FE1A03">
        <w:rPr>
          <w:color w:val="00B0F0"/>
        </w:rPr>
        <w:t>RJ to provide</w:t>
      </w:r>
    </w:p>
    <w:p w14:paraId="774910D0" w14:textId="5EF0B66F" w:rsidR="00787DF1" w:rsidRDefault="00E12E06" w:rsidP="00E12E06">
      <w:pPr>
        <w:rPr>
          <w:rFonts w:cstheme="minorHAnsi"/>
        </w:rPr>
      </w:pPr>
      <w:r>
        <w:rPr>
          <w:rFonts w:cstheme="minorHAnsi"/>
        </w:rPr>
        <w:t xml:space="preserve">Next meeting : </w:t>
      </w:r>
      <w:r w:rsidR="0028597D">
        <w:rPr>
          <w:rFonts w:cstheme="minorHAnsi"/>
        </w:rPr>
        <w:t xml:space="preserve">Monday </w:t>
      </w:r>
      <w:r w:rsidR="00FE1A03">
        <w:rPr>
          <w:rFonts w:cstheme="minorHAnsi"/>
        </w:rPr>
        <w:t>07/06/21</w:t>
      </w:r>
      <w:r w:rsidR="00787DF1">
        <w:rPr>
          <w:rFonts w:cstheme="minorHAnsi"/>
        </w:rPr>
        <w:t>/</w:t>
      </w:r>
      <w:r w:rsidR="00D877A2">
        <w:rPr>
          <w:rFonts w:cstheme="minorHAnsi"/>
        </w:rPr>
        <w:t xml:space="preserve"> 17.30 </w:t>
      </w:r>
      <w:r w:rsidR="00787DF1">
        <w:rPr>
          <w:rFonts w:cstheme="minorHAnsi"/>
        </w:rPr>
        <w:t xml:space="preserve">/ </w:t>
      </w:r>
      <w:r w:rsidR="00D877A2">
        <w:rPr>
          <w:rFonts w:cstheme="minorHAnsi"/>
        </w:rPr>
        <w:t xml:space="preserve">Barley Room. </w:t>
      </w:r>
    </w:p>
    <w:p w14:paraId="5AC607FF" w14:textId="77777777" w:rsidR="004D04C6" w:rsidRDefault="00787DF1" w:rsidP="00787DF1">
      <w:pPr>
        <w:rPr>
          <w:color w:val="000000" w:themeColor="text1"/>
        </w:rPr>
        <w:sectPr w:rsidR="004D04C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color w:val="000000" w:themeColor="text1"/>
        </w:rPr>
        <w:t>Meeting concluded 19.05</w:t>
      </w:r>
    </w:p>
    <w:p w14:paraId="130FF128" w14:textId="355CD748" w:rsidR="00787DF1" w:rsidRPr="00744EA9" w:rsidRDefault="00E6214C" w:rsidP="00744EA9">
      <w:pPr>
        <w:pStyle w:val="Heading1"/>
        <w:rPr>
          <w:b/>
          <w:bCs/>
          <w:color w:val="auto"/>
        </w:rPr>
      </w:pPr>
      <w:r w:rsidRPr="00744EA9">
        <w:rPr>
          <w:b/>
          <w:bCs/>
          <w:color w:val="auto"/>
        </w:rPr>
        <w:lastRenderedPageBreak/>
        <w:t xml:space="preserve">Actions </w:t>
      </w:r>
    </w:p>
    <w:p w14:paraId="5065D997" w14:textId="77777777" w:rsidR="00E6214C" w:rsidRDefault="00E6214C" w:rsidP="00E12E0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"/>
        <w:gridCol w:w="7446"/>
        <w:gridCol w:w="1280"/>
        <w:gridCol w:w="1590"/>
        <w:gridCol w:w="1590"/>
      </w:tblGrid>
      <w:tr w:rsidR="00C44171" w14:paraId="542D33FE" w14:textId="3F0D0410" w:rsidTr="009F3128">
        <w:tc>
          <w:tcPr>
            <w:tcW w:w="1054" w:type="dxa"/>
            <w:shd w:val="clear" w:color="auto" w:fill="FF29FF"/>
          </w:tcPr>
          <w:p w14:paraId="5555070E" w14:textId="1398E842" w:rsidR="00C44171" w:rsidRPr="009F3128" w:rsidRDefault="00C44171" w:rsidP="00210356">
            <w:pPr>
              <w:rPr>
                <w:rFonts w:cstheme="minorHAnsi"/>
                <w:b/>
                <w:bCs/>
              </w:rPr>
            </w:pPr>
            <w:r w:rsidRPr="009F3128">
              <w:rPr>
                <w:rFonts w:cstheme="minorHAnsi"/>
                <w:b/>
                <w:bCs/>
              </w:rPr>
              <w:t>Number</w:t>
            </w:r>
          </w:p>
        </w:tc>
        <w:tc>
          <w:tcPr>
            <w:tcW w:w="7446" w:type="dxa"/>
            <w:shd w:val="clear" w:color="auto" w:fill="FF29FF"/>
          </w:tcPr>
          <w:p w14:paraId="39FC87D1" w14:textId="5202ED7F" w:rsidR="00C44171" w:rsidRPr="009F3128" w:rsidRDefault="00C44171" w:rsidP="00210356">
            <w:pPr>
              <w:rPr>
                <w:rFonts w:cstheme="minorHAnsi"/>
                <w:b/>
                <w:bCs/>
              </w:rPr>
            </w:pPr>
            <w:r w:rsidRPr="009F3128">
              <w:rPr>
                <w:rFonts w:cstheme="minorHAnsi"/>
                <w:b/>
                <w:bCs/>
              </w:rPr>
              <w:t>Action</w:t>
            </w:r>
          </w:p>
        </w:tc>
        <w:tc>
          <w:tcPr>
            <w:tcW w:w="253" w:type="dxa"/>
            <w:shd w:val="clear" w:color="auto" w:fill="FF29FF"/>
          </w:tcPr>
          <w:p w14:paraId="27F32DB3" w14:textId="555E0AB6" w:rsidR="00C44171" w:rsidRPr="009F3128" w:rsidRDefault="00C44171" w:rsidP="00210356">
            <w:pPr>
              <w:rPr>
                <w:rFonts w:cstheme="minorHAnsi"/>
                <w:b/>
                <w:bCs/>
              </w:rPr>
            </w:pPr>
            <w:r w:rsidRPr="009F3128">
              <w:rPr>
                <w:rFonts w:cstheme="minorHAnsi"/>
                <w:b/>
                <w:bCs/>
              </w:rPr>
              <w:t>Completion Date</w:t>
            </w:r>
          </w:p>
        </w:tc>
        <w:tc>
          <w:tcPr>
            <w:tcW w:w="1590" w:type="dxa"/>
            <w:shd w:val="clear" w:color="auto" w:fill="FF29FF"/>
          </w:tcPr>
          <w:p w14:paraId="372CFE86" w14:textId="1B5A8F79" w:rsidR="00C44171" w:rsidRPr="009F3128" w:rsidRDefault="00C44171" w:rsidP="00210356">
            <w:pPr>
              <w:rPr>
                <w:rFonts w:cstheme="minorHAnsi"/>
                <w:b/>
                <w:bCs/>
              </w:rPr>
            </w:pPr>
            <w:r w:rsidRPr="009F3128">
              <w:rPr>
                <w:rFonts w:cstheme="minorHAnsi"/>
                <w:b/>
                <w:bCs/>
              </w:rPr>
              <w:t xml:space="preserve">Responsibility </w:t>
            </w:r>
          </w:p>
        </w:tc>
        <w:tc>
          <w:tcPr>
            <w:tcW w:w="1590" w:type="dxa"/>
            <w:shd w:val="clear" w:color="auto" w:fill="FF29FF"/>
          </w:tcPr>
          <w:p w14:paraId="7161A87C" w14:textId="18D1CCF0" w:rsidR="00C44171" w:rsidRPr="009F3128" w:rsidRDefault="00C44171" w:rsidP="00210356">
            <w:pPr>
              <w:rPr>
                <w:rFonts w:cstheme="minorHAnsi"/>
                <w:b/>
                <w:bCs/>
              </w:rPr>
            </w:pPr>
          </w:p>
        </w:tc>
      </w:tr>
      <w:tr w:rsidR="00C44171" w14:paraId="7A616BC9" w14:textId="5CAD6785" w:rsidTr="00C44171">
        <w:tc>
          <w:tcPr>
            <w:tcW w:w="1054" w:type="dxa"/>
          </w:tcPr>
          <w:p w14:paraId="653084E4" w14:textId="21C80B77" w:rsidR="00C44171" w:rsidRDefault="00C44171" w:rsidP="0021035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446" w:type="dxa"/>
          </w:tcPr>
          <w:p w14:paraId="28BFA68D" w14:textId="2420C59C" w:rsidR="00C44171" w:rsidRPr="00E90921" w:rsidRDefault="00C44171" w:rsidP="004F16B1">
            <w:r w:rsidRPr="00E90921">
              <w:t xml:space="preserve">Team Action review the </w:t>
            </w:r>
            <w:r w:rsidR="00601D8D" w:rsidRPr="00E90921">
              <w:t>policies</w:t>
            </w:r>
            <w:r w:rsidRPr="00E90921">
              <w:t xml:space="preserve"> and objectives in the current draft in conjunction with those in the Copdock plan. </w:t>
            </w:r>
          </w:p>
          <w:p w14:paraId="11671511" w14:textId="77777777" w:rsidR="00C44171" w:rsidRPr="00E90921" w:rsidRDefault="00C44171" w:rsidP="00210356">
            <w:pPr>
              <w:rPr>
                <w:rFonts w:cstheme="minorHAnsi"/>
              </w:rPr>
            </w:pPr>
          </w:p>
        </w:tc>
        <w:tc>
          <w:tcPr>
            <w:tcW w:w="253" w:type="dxa"/>
          </w:tcPr>
          <w:p w14:paraId="3A9FF8C7" w14:textId="77777777" w:rsidR="00C44171" w:rsidRDefault="00C44171" w:rsidP="00210356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2617CEB3" w14:textId="7FC13067" w:rsidR="00C44171" w:rsidRDefault="00C44171" w:rsidP="00210356">
            <w:pPr>
              <w:rPr>
                <w:rFonts w:cstheme="minorHAnsi"/>
              </w:rPr>
            </w:pPr>
            <w:r>
              <w:rPr>
                <w:rFonts w:cstheme="minorHAnsi"/>
              </w:rPr>
              <w:t>NP Team</w:t>
            </w:r>
          </w:p>
        </w:tc>
        <w:tc>
          <w:tcPr>
            <w:tcW w:w="1590" w:type="dxa"/>
          </w:tcPr>
          <w:p w14:paraId="03693AF4" w14:textId="77777777" w:rsidR="00C44171" w:rsidRDefault="00C44171" w:rsidP="00210356">
            <w:pPr>
              <w:rPr>
                <w:rFonts w:cstheme="minorHAnsi"/>
              </w:rPr>
            </w:pPr>
          </w:p>
        </w:tc>
      </w:tr>
      <w:tr w:rsidR="00C44171" w14:paraId="023145C1" w14:textId="782B108A" w:rsidTr="00C44171">
        <w:tc>
          <w:tcPr>
            <w:tcW w:w="1054" w:type="dxa"/>
          </w:tcPr>
          <w:p w14:paraId="0670F828" w14:textId="126C9A4B" w:rsidR="00C44171" w:rsidRDefault="00C44171" w:rsidP="0021035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446" w:type="dxa"/>
          </w:tcPr>
          <w:p w14:paraId="6270F6BA" w14:textId="77777777" w:rsidR="00C44171" w:rsidRDefault="00C44171" w:rsidP="00210356">
            <w:r w:rsidRPr="00E90921">
              <w:t xml:space="preserve">Action approach SPC </w:t>
            </w:r>
            <w:r w:rsidR="00214AD0" w:rsidRPr="00E90921">
              <w:t>refunding</w:t>
            </w:r>
            <w:r w:rsidRPr="00E90921">
              <w:t xml:space="preserve"> for additional work.</w:t>
            </w:r>
          </w:p>
          <w:p w14:paraId="36ECCD01" w14:textId="62D51E39" w:rsidR="00214AD0" w:rsidRPr="00E90921" w:rsidRDefault="00214AD0" w:rsidP="00210356">
            <w:pPr>
              <w:rPr>
                <w:rFonts w:cstheme="minorHAnsi"/>
              </w:rPr>
            </w:pPr>
            <w:r>
              <w:t xml:space="preserve">Update PC on the next 4 months. </w:t>
            </w:r>
          </w:p>
        </w:tc>
        <w:tc>
          <w:tcPr>
            <w:tcW w:w="253" w:type="dxa"/>
          </w:tcPr>
          <w:p w14:paraId="35817B3A" w14:textId="1A1B82CB" w:rsidR="00C44171" w:rsidRDefault="00C44171" w:rsidP="00210356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Planning Meeting 19/05/2021</w:t>
            </w:r>
          </w:p>
        </w:tc>
        <w:tc>
          <w:tcPr>
            <w:tcW w:w="1590" w:type="dxa"/>
          </w:tcPr>
          <w:p w14:paraId="43612E12" w14:textId="076550FF" w:rsidR="00C44171" w:rsidRDefault="00C44171" w:rsidP="00210356">
            <w:pPr>
              <w:rPr>
                <w:rFonts w:cstheme="minorHAnsi"/>
              </w:rPr>
            </w:pPr>
            <w:r>
              <w:rPr>
                <w:rFonts w:cstheme="minorHAnsi"/>
              </w:rPr>
              <w:t>RLJ</w:t>
            </w:r>
          </w:p>
        </w:tc>
        <w:tc>
          <w:tcPr>
            <w:tcW w:w="1590" w:type="dxa"/>
          </w:tcPr>
          <w:p w14:paraId="272688AD" w14:textId="77777777" w:rsidR="00C44171" w:rsidRDefault="00C44171" w:rsidP="00210356">
            <w:pPr>
              <w:rPr>
                <w:rFonts w:cstheme="minorHAnsi"/>
              </w:rPr>
            </w:pPr>
          </w:p>
        </w:tc>
      </w:tr>
      <w:tr w:rsidR="00C44171" w14:paraId="490E6407" w14:textId="0AEC8928" w:rsidTr="00C44171">
        <w:tc>
          <w:tcPr>
            <w:tcW w:w="1054" w:type="dxa"/>
          </w:tcPr>
          <w:p w14:paraId="374DAF17" w14:textId="6B67DC5A" w:rsidR="00C44171" w:rsidRDefault="00C44171" w:rsidP="0021035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446" w:type="dxa"/>
          </w:tcPr>
          <w:p w14:paraId="2270BD22" w14:textId="739BE7FD" w:rsidR="00C44171" w:rsidRPr="00E90921" w:rsidRDefault="00C44171" w:rsidP="001A4240">
            <w:r w:rsidRPr="00E90921">
              <w:t>Ian requested a narrative on the Wildman Public House</w:t>
            </w:r>
          </w:p>
          <w:p w14:paraId="3A42E51E" w14:textId="77777777" w:rsidR="00C44171" w:rsidRPr="00E90921" w:rsidRDefault="00C44171" w:rsidP="00210356">
            <w:pPr>
              <w:rPr>
                <w:rFonts w:cstheme="minorHAnsi"/>
              </w:rPr>
            </w:pPr>
          </w:p>
        </w:tc>
        <w:tc>
          <w:tcPr>
            <w:tcW w:w="253" w:type="dxa"/>
          </w:tcPr>
          <w:p w14:paraId="335C7FA0" w14:textId="77777777" w:rsidR="00C44171" w:rsidRDefault="00C44171" w:rsidP="00210356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7E98DACA" w14:textId="343B4B7C" w:rsidR="00C44171" w:rsidRDefault="00C44171" w:rsidP="00210356">
            <w:pPr>
              <w:rPr>
                <w:rFonts w:cstheme="minorHAnsi"/>
              </w:rPr>
            </w:pPr>
            <w:r>
              <w:rPr>
                <w:rFonts w:cstheme="minorHAnsi"/>
              </w:rPr>
              <w:t>RLJ</w:t>
            </w:r>
          </w:p>
        </w:tc>
        <w:tc>
          <w:tcPr>
            <w:tcW w:w="1590" w:type="dxa"/>
          </w:tcPr>
          <w:p w14:paraId="2F567609" w14:textId="77777777" w:rsidR="00C44171" w:rsidRDefault="00C44171" w:rsidP="00210356">
            <w:pPr>
              <w:rPr>
                <w:rFonts w:cstheme="minorHAnsi"/>
              </w:rPr>
            </w:pPr>
          </w:p>
        </w:tc>
      </w:tr>
      <w:tr w:rsidR="00C44171" w14:paraId="3A864B08" w14:textId="539D0C01" w:rsidTr="00C44171">
        <w:trPr>
          <w:trHeight w:val="1194"/>
        </w:trPr>
        <w:tc>
          <w:tcPr>
            <w:tcW w:w="1054" w:type="dxa"/>
          </w:tcPr>
          <w:p w14:paraId="48204911" w14:textId="0A7D4FE0" w:rsidR="00C44171" w:rsidRDefault="00C44171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446" w:type="dxa"/>
          </w:tcPr>
          <w:p w14:paraId="0B8EE64A" w14:textId="77777777" w:rsidR="00C44171" w:rsidRPr="00E90921" w:rsidRDefault="00C44171" w:rsidP="007763B7">
            <w:r w:rsidRPr="00E90921">
              <w:t xml:space="preserve">Team action – brainstorm to provide a wish list to include locations of footpaths / cycle paths / crossings / improvement to pedestrian paths / speed limits / width restrictions etc. </w:t>
            </w:r>
          </w:p>
          <w:p w14:paraId="199FF9EE" w14:textId="77777777" w:rsidR="00C44171" w:rsidRPr="00E90921" w:rsidRDefault="00C44171" w:rsidP="007763B7">
            <w:pPr>
              <w:rPr>
                <w:rFonts w:cstheme="minorHAnsi"/>
              </w:rPr>
            </w:pPr>
          </w:p>
        </w:tc>
        <w:tc>
          <w:tcPr>
            <w:tcW w:w="253" w:type="dxa"/>
          </w:tcPr>
          <w:p w14:paraId="2943D064" w14:textId="77777777" w:rsidR="00C44171" w:rsidRDefault="00C44171" w:rsidP="007763B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01C82B19" w14:textId="77777777" w:rsidR="00C44171" w:rsidRDefault="00C44171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NP Team</w:t>
            </w:r>
          </w:p>
          <w:p w14:paraId="299E5742" w14:textId="231282CA" w:rsidR="00C44171" w:rsidRDefault="00C44171" w:rsidP="007763B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4AE25589" w14:textId="77777777" w:rsidR="00C44171" w:rsidRDefault="00C44171" w:rsidP="007763B7">
            <w:pPr>
              <w:rPr>
                <w:rFonts w:cstheme="minorHAnsi"/>
              </w:rPr>
            </w:pPr>
          </w:p>
        </w:tc>
      </w:tr>
      <w:tr w:rsidR="00C44171" w14:paraId="1F17F005" w14:textId="6DF5C691" w:rsidTr="00C44171">
        <w:tc>
          <w:tcPr>
            <w:tcW w:w="1054" w:type="dxa"/>
          </w:tcPr>
          <w:p w14:paraId="07C18E32" w14:textId="5D4D367B" w:rsidR="00C44171" w:rsidRDefault="008305AD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446" w:type="dxa"/>
          </w:tcPr>
          <w:p w14:paraId="2778D2CE" w14:textId="63655C05" w:rsidR="00C44171" w:rsidRPr="00E90921" w:rsidRDefault="00C44171" w:rsidP="007763B7">
            <w:pPr>
              <w:rPr>
                <w:rFonts w:cstheme="minorHAnsi"/>
              </w:rPr>
            </w:pPr>
            <w:r w:rsidRPr="00E90921">
              <w:t xml:space="preserve">Transport diagram required in Highways section showing new Pigeon Road. </w:t>
            </w:r>
          </w:p>
        </w:tc>
        <w:tc>
          <w:tcPr>
            <w:tcW w:w="253" w:type="dxa"/>
          </w:tcPr>
          <w:p w14:paraId="613BFCFB" w14:textId="77777777" w:rsidR="00C44171" w:rsidRDefault="00C44171" w:rsidP="007763B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55650259" w14:textId="7C4CF626" w:rsidR="00C44171" w:rsidRDefault="00C44171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IP</w:t>
            </w:r>
          </w:p>
        </w:tc>
        <w:tc>
          <w:tcPr>
            <w:tcW w:w="1590" w:type="dxa"/>
          </w:tcPr>
          <w:p w14:paraId="08CFA150" w14:textId="77777777" w:rsidR="00C44171" w:rsidRDefault="00C44171" w:rsidP="007763B7">
            <w:pPr>
              <w:rPr>
                <w:rFonts w:cstheme="minorHAnsi"/>
              </w:rPr>
            </w:pPr>
          </w:p>
        </w:tc>
      </w:tr>
      <w:tr w:rsidR="00C44171" w14:paraId="74C6D965" w14:textId="0B0F7F4D" w:rsidTr="00C44171">
        <w:tc>
          <w:tcPr>
            <w:tcW w:w="1054" w:type="dxa"/>
          </w:tcPr>
          <w:p w14:paraId="09CEDC56" w14:textId="762FEC84" w:rsidR="00C44171" w:rsidRDefault="008305AD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446" w:type="dxa"/>
          </w:tcPr>
          <w:p w14:paraId="1EB40148" w14:textId="77777777" w:rsidR="00C44171" w:rsidRPr="00E90921" w:rsidRDefault="00C44171" w:rsidP="007763B7">
            <w:r w:rsidRPr="00E90921">
              <w:t>Library system for copy of the plan to be put in place – action to organise. RLJ</w:t>
            </w:r>
          </w:p>
          <w:p w14:paraId="5FE782CB" w14:textId="77777777" w:rsidR="00C44171" w:rsidRPr="00E90921" w:rsidRDefault="00C44171" w:rsidP="007763B7">
            <w:pPr>
              <w:rPr>
                <w:rFonts w:cstheme="minorHAnsi"/>
              </w:rPr>
            </w:pPr>
          </w:p>
        </w:tc>
        <w:tc>
          <w:tcPr>
            <w:tcW w:w="253" w:type="dxa"/>
          </w:tcPr>
          <w:p w14:paraId="4F917E63" w14:textId="77777777" w:rsidR="00C44171" w:rsidRDefault="00C44171" w:rsidP="007763B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1BAA713C" w14:textId="7BD1CB44" w:rsidR="00C44171" w:rsidRDefault="00221342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RLJ</w:t>
            </w:r>
          </w:p>
        </w:tc>
        <w:tc>
          <w:tcPr>
            <w:tcW w:w="1590" w:type="dxa"/>
          </w:tcPr>
          <w:p w14:paraId="6C935D99" w14:textId="77777777" w:rsidR="00C44171" w:rsidRDefault="00C44171" w:rsidP="007763B7">
            <w:pPr>
              <w:rPr>
                <w:rFonts w:cstheme="minorHAnsi"/>
              </w:rPr>
            </w:pPr>
          </w:p>
        </w:tc>
      </w:tr>
      <w:tr w:rsidR="00C44171" w14:paraId="2DF79085" w14:textId="7DDD0E36" w:rsidTr="00C44171">
        <w:tc>
          <w:tcPr>
            <w:tcW w:w="1054" w:type="dxa"/>
          </w:tcPr>
          <w:p w14:paraId="3F5992E9" w14:textId="27916A02" w:rsidR="00C44171" w:rsidRDefault="008305AD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446" w:type="dxa"/>
          </w:tcPr>
          <w:p w14:paraId="332152EA" w14:textId="57F3F4FE" w:rsidR="00C44171" w:rsidRPr="00E90921" w:rsidRDefault="00C44171" w:rsidP="007763B7">
            <w:r w:rsidRPr="00E90921">
              <w:t xml:space="preserve">Ian requested photos for the desktop publishing, different pictures for each topic.  </w:t>
            </w:r>
          </w:p>
          <w:p w14:paraId="6A65BB73" w14:textId="77777777" w:rsidR="00C44171" w:rsidRPr="00E90921" w:rsidRDefault="00C44171" w:rsidP="007763B7">
            <w:pPr>
              <w:rPr>
                <w:rFonts w:cstheme="minorHAnsi"/>
              </w:rPr>
            </w:pPr>
          </w:p>
        </w:tc>
        <w:tc>
          <w:tcPr>
            <w:tcW w:w="253" w:type="dxa"/>
          </w:tcPr>
          <w:p w14:paraId="5BD51D91" w14:textId="77777777" w:rsidR="00C44171" w:rsidRDefault="00C44171" w:rsidP="007763B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19DC2802" w14:textId="48B6E8D3" w:rsidR="00C44171" w:rsidRDefault="004F3F6C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RLJ</w:t>
            </w:r>
          </w:p>
        </w:tc>
        <w:tc>
          <w:tcPr>
            <w:tcW w:w="1590" w:type="dxa"/>
          </w:tcPr>
          <w:p w14:paraId="2477396F" w14:textId="77777777" w:rsidR="00C44171" w:rsidRDefault="00C44171" w:rsidP="007763B7">
            <w:pPr>
              <w:rPr>
                <w:rFonts w:cstheme="minorHAnsi"/>
              </w:rPr>
            </w:pPr>
          </w:p>
        </w:tc>
      </w:tr>
      <w:tr w:rsidR="00C44171" w14:paraId="0B5EEFB1" w14:textId="202493EA" w:rsidTr="00C44171">
        <w:tc>
          <w:tcPr>
            <w:tcW w:w="1054" w:type="dxa"/>
          </w:tcPr>
          <w:p w14:paraId="3CC49607" w14:textId="109C917E" w:rsidR="00C44171" w:rsidRDefault="008305AD" w:rsidP="007763B7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446" w:type="dxa"/>
          </w:tcPr>
          <w:p w14:paraId="5CBC63B5" w14:textId="77777777" w:rsidR="00C44171" w:rsidRDefault="00C44171" w:rsidP="007763B7">
            <w:pPr>
              <w:rPr>
                <w:rFonts w:cstheme="minorHAnsi"/>
              </w:rPr>
            </w:pPr>
          </w:p>
        </w:tc>
        <w:tc>
          <w:tcPr>
            <w:tcW w:w="253" w:type="dxa"/>
          </w:tcPr>
          <w:p w14:paraId="4249F670" w14:textId="77777777" w:rsidR="00C44171" w:rsidRDefault="00C44171" w:rsidP="007763B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2A7FFECE" w14:textId="77777777" w:rsidR="00C44171" w:rsidRDefault="00C44171" w:rsidP="007763B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14:paraId="364B3BBF" w14:textId="77777777" w:rsidR="00C44171" w:rsidRDefault="00C44171" w:rsidP="007763B7">
            <w:pPr>
              <w:rPr>
                <w:rFonts w:cstheme="minorHAnsi"/>
              </w:rPr>
            </w:pPr>
          </w:p>
        </w:tc>
      </w:tr>
    </w:tbl>
    <w:p w14:paraId="17F911FB" w14:textId="6B72DC6E" w:rsidR="00E12E06" w:rsidRDefault="00E12E06" w:rsidP="00E12E06">
      <w:pPr>
        <w:rPr>
          <w:rFonts w:cstheme="minorHAnsi"/>
        </w:rPr>
      </w:pPr>
    </w:p>
    <w:p w14:paraId="307F5D9A" w14:textId="77777777" w:rsidR="00787DF1" w:rsidRPr="00E12E06" w:rsidRDefault="00787DF1" w:rsidP="00E12E06">
      <w:pPr>
        <w:rPr>
          <w:rFonts w:cstheme="minorHAnsi"/>
        </w:rPr>
      </w:pPr>
    </w:p>
    <w:sectPr w:rsidR="00787DF1" w:rsidRPr="00E12E06" w:rsidSect="004D0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08EA" w14:textId="77777777" w:rsidR="00F46BDB" w:rsidRDefault="00F46BDB" w:rsidP="00AB2747">
      <w:pPr>
        <w:spacing w:after="0" w:line="240" w:lineRule="auto"/>
      </w:pPr>
      <w:r>
        <w:separator/>
      </w:r>
    </w:p>
  </w:endnote>
  <w:endnote w:type="continuationSeparator" w:id="0">
    <w:p w14:paraId="01BB4C98" w14:textId="77777777" w:rsidR="00F46BDB" w:rsidRDefault="00F46BDB" w:rsidP="00AB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3F63" w14:textId="77777777" w:rsidR="00F46BDB" w:rsidRDefault="00F46BDB" w:rsidP="00AB2747">
      <w:pPr>
        <w:spacing w:after="0" w:line="240" w:lineRule="auto"/>
      </w:pPr>
      <w:r>
        <w:separator/>
      </w:r>
    </w:p>
  </w:footnote>
  <w:footnote w:type="continuationSeparator" w:id="0">
    <w:p w14:paraId="23059871" w14:textId="77777777" w:rsidR="00F46BDB" w:rsidRDefault="00F46BDB" w:rsidP="00AB2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15D"/>
    <w:multiLevelType w:val="hybridMultilevel"/>
    <w:tmpl w:val="23AAA0D2"/>
    <w:lvl w:ilvl="0" w:tplc="9FA85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F16FD"/>
    <w:multiLevelType w:val="hybridMultilevel"/>
    <w:tmpl w:val="C2B2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6EB6"/>
    <w:multiLevelType w:val="hybridMultilevel"/>
    <w:tmpl w:val="C2165C68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47E"/>
    <w:multiLevelType w:val="hybridMultilevel"/>
    <w:tmpl w:val="8E70DB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51BE"/>
    <w:multiLevelType w:val="hybridMultilevel"/>
    <w:tmpl w:val="7E168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916158"/>
    <w:multiLevelType w:val="hybridMultilevel"/>
    <w:tmpl w:val="4D22A21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27A2228E"/>
    <w:multiLevelType w:val="hybridMultilevel"/>
    <w:tmpl w:val="CF906EEC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0026"/>
    <w:multiLevelType w:val="hybridMultilevel"/>
    <w:tmpl w:val="ADFC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2623A"/>
    <w:multiLevelType w:val="hybridMultilevel"/>
    <w:tmpl w:val="146A631C"/>
    <w:lvl w:ilvl="0" w:tplc="9FA85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05E7E"/>
    <w:multiLevelType w:val="hybridMultilevel"/>
    <w:tmpl w:val="A8DA3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10221"/>
    <w:multiLevelType w:val="hybridMultilevel"/>
    <w:tmpl w:val="6A9665AA"/>
    <w:lvl w:ilvl="0" w:tplc="A60C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F01703"/>
    <w:multiLevelType w:val="hybridMultilevel"/>
    <w:tmpl w:val="0212E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2017F"/>
    <w:multiLevelType w:val="hybridMultilevel"/>
    <w:tmpl w:val="141A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F25E1"/>
    <w:multiLevelType w:val="hybridMultilevel"/>
    <w:tmpl w:val="B8562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F0A24"/>
    <w:multiLevelType w:val="hybridMultilevel"/>
    <w:tmpl w:val="6212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7361B"/>
    <w:multiLevelType w:val="hybridMultilevel"/>
    <w:tmpl w:val="CC62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97AD8"/>
    <w:multiLevelType w:val="hybridMultilevel"/>
    <w:tmpl w:val="2722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538DD"/>
    <w:multiLevelType w:val="hybridMultilevel"/>
    <w:tmpl w:val="7114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D28E9"/>
    <w:multiLevelType w:val="hybridMultilevel"/>
    <w:tmpl w:val="8D24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7E52"/>
    <w:multiLevelType w:val="hybridMultilevel"/>
    <w:tmpl w:val="EDC4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5"/>
  </w:num>
  <w:num w:numId="6">
    <w:abstractNumId w:val="14"/>
  </w:num>
  <w:num w:numId="7">
    <w:abstractNumId w:val="13"/>
  </w:num>
  <w:num w:numId="8">
    <w:abstractNumId w:val="3"/>
  </w:num>
  <w:num w:numId="9">
    <w:abstractNumId w:val="15"/>
  </w:num>
  <w:num w:numId="10">
    <w:abstractNumId w:val="19"/>
  </w:num>
  <w:num w:numId="11">
    <w:abstractNumId w:val="8"/>
  </w:num>
  <w:num w:numId="12">
    <w:abstractNumId w:val="2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0A"/>
    <w:rsid w:val="00032A3A"/>
    <w:rsid w:val="00047336"/>
    <w:rsid w:val="00051059"/>
    <w:rsid w:val="00077260"/>
    <w:rsid w:val="00081152"/>
    <w:rsid w:val="00087DE7"/>
    <w:rsid w:val="000926F3"/>
    <w:rsid w:val="000B6334"/>
    <w:rsid w:val="000C38D5"/>
    <w:rsid w:val="000D4F01"/>
    <w:rsid w:val="000F6A69"/>
    <w:rsid w:val="00103CAB"/>
    <w:rsid w:val="00115465"/>
    <w:rsid w:val="00135A16"/>
    <w:rsid w:val="00154E92"/>
    <w:rsid w:val="0019449E"/>
    <w:rsid w:val="001A2A7D"/>
    <w:rsid w:val="001A3B7C"/>
    <w:rsid w:val="001A4240"/>
    <w:rsid w:val="001A55B2"/>
    <w:rsid w:val="001C3F10"/>
    <w:rsid w:val="00210356"/>
    <w:rsid w:val="00214AD0"/>
    <w:rsid w:val="002170CD"/>
    <w:rsid w:val="00221342"/>
    <w:rsid w:val="002213DE"/>
    <w:rsid w:val="00227A55"/>
    <w:rsid w:val="00243A65"/>
    <w:rsid w:val="00262511"/>
    <w:rsid w:val="00272B64"/>
    <w:rsid w:val="00275274"/>
    <w:rsid w:val="0028269F"/>
    <w:rsid w:val="00284099"/>
    <w:rsid w:val="0028597D"/>
    <w:rsid w:val="002C5E0D"/>
    <w:rsid w:val="002E1628"/>
    <w:rsid w:val="002F2749"/>
    <w:rsid w:val="002F5731"/>
    <w:rsid w:val="002F5ACA"/>
    <w:rsid w:val="002F66B4"/>
    <w:rsid w:val="003038B2"/>
    <w:rsid w:val="00316B62"/>
    <w:rsid w:val="0032566D"/>
    <w:rsid w:val="00346972"/>
    <w:rsid w:val="003844A4"/>
    <w:rsid w:val="003A7C53"/>
    <w:rsid w:val="00435C58"/>
    <w:rsid w:val="00437060"/>
    <w:rsid w:val="00495525"/>
    <w:rsid w:val="004A15BD"/>
    <w:rsid w:val="004B3C7F"/>
    <w:rsid w:val="004C0943"/>
    <w:rsid w:val="004C3EBE"/>
    <w:rsid w:val="004D04C6"/>
    <w:rsid w:val="004E062C"/>
    <w:rsid w:val="004E07A7"/>
    <w:rsid w:val="004F16B1"/>
    <w:rsid w:val="004F3F6C"/>
    <w:rsid w:val="00527D70"/>
    <w:rsid w:val="00532A20"/>
    <w:rsid w:val="00533871"/>
    <w:rsid w:val="00536B31"/>
    <w:rsid w:val="0054187F"/>
    <w:rsid w:val="00541EB6"/>
    <w:rsid w:val="00564C9C"/>
    <w:rsid w:val="0059161B"/>
    <w:rsid w:val="005B3E7D"/>
    <w:rsid w:val="005C1BDA"/>
    <w:rsid w:val="005E03F9"/>
    <w:rsid w:val="005E35CC"/>
    <w:rsid w:val="00601D8D"/>
    <w:rsid w:val="00641958"/>
    <w:rsid w:val="00641959"/>
    <w:rsid w:val="006636A9"/>
    <w:rsid w:val="0069264B"/>
    <w:rsid w:val="006A0F16"/>
    <w:rsid w:val="006C0E92"/>
    <w:rsid w:val="006D0B7F"/>
    <w:rsid w:val="006E09E5"/>
    <w:rsid w:val="006E72A3"/>
    <w:rsid w:val="006F1A48"/>
    <w:rsid w:val="00712534"/>
    <w:rsid w:val="00744EA9"/>
    <w:rsid w:val="00745BD2"/>
    <w:rsid w:val="007763B7"/>
    <w:rsid w:val="00787DF1"/>
    <w:rsid w:val="00794C7E"/>
    <w:rsid w:val="007A33A2"/>
    <w:rsid w:val="007A4D9D"/>
    <w:rsid w:val="007A6BAD"/>
    <w:rsid w:val="007E4AB7"/>
    <w:rsid w:val="007E7CC4"/>
    <w:rsid w:val="007F330A"/>
    <w:rsid w:val="008065C4"/>
    <w:rsid w:val="0081335E"/>
    <w:rsid w:val="008217CC"/>
    <w:rsid w:val="00830255"/>
    <w:rsid w:val="008305AD"/>
    <w:rsid w:val="008307AD"/>
    <w:rsid w:val="00887573"/>
    <w:rsid w:val="00895AB5"/>
    <w:rsid w:val="008C16DD"/>
    <w:rsid w:val="008D1ABD"/>
    <w:rsid w:val="008D78CC"/>
    <w:rsid w:val="008E3924"/>
    <w:rsid w:val="008E70C5"/>
    <w:rsid w:val="00900EC9"/>
    <w:rsid w:val="00905154"/>
    <w:rsid w:val="00915179"/>
    <w:rsid w:val="009215C3"/>
    <w:rsid w:val="00925E6C"/>
    <w:rsid w:val="00933496"/>
    <w:rsid w:val="009552F3"/>
    <w:rsid w:val="009B65AA"/>
    <w:rsid w:val="009C3BE4"/>
    <w:rsid w:val="009D50D8"/>
    <w:rsid w:val="009F3128"/>
    <w:rsid w:val="009F6689"/>
    <w:rsid w:val="00A1117B"/>
    <w:rsid w:val="00A11674"/>
    <w:rsid w:val="00A3505E"/>
    <w:rsid w:val="00A3631A"/>
    <w:rsid w:val="00A46AB8"/>
    <w:rsid w:val="00A574AE"/>
    <w:rsid w:val="00A659CB"/>
    <w:rsid w:val="00A763F8"/>
    <w:rsid w:val="00A765E1"/>
    <w:rsid w:val="00A94BCE"/>
    <w:rsid w:val="00AB2747"/>
    <w:rsid w:val="00AB314E"/>
    <w:rsid w:val="00AB46A7"/>
    <w:rsid w:val="00AB4F7B"/>
    <w:rsid w:val="00AC1C5A"/>
    <w:rsid w:val="00AC629F"/>
    <w:rsid w:val="00AD7094"/>
    <w:rsid w:val="00AE4935"/>
    <w:rsid w:val="00AE792B"/>
    <w:rsid w:val="00B347D2"/>
    <w:rsid w:val="00B37960"/>
    <w:rsid w:val="00B41DC7"/>
    <w:rsid w:val="00B61FA3"/>
    <w:rsid w:val="00B63972"/>
    <w:rsid w:val="00B81556"/>
    <w:rsid w:val="00B82A9E"/>
    <w:rsid w:val="00B930EF"/>
    <w:rsid w:val="00BB1AEA"/>
    <w:rsid w:val="00BC2C92"/>
    <w:rsid w:val="00BD3A46"/>
    <w:rsid w:val="00BD42FF"/>
    <w:rsid w:val="00BF2CAC"/>
    <w:rsid w:val="00C123A7"/>
    <w:rsid w:val="00C21036"/>
    <w:rsid w:val="00C23F74"/>
    <w:rsid w:val="00C42E96"/>
    <w:rsid w:val="00C43F61"/>
    <w:rsid w:val="00C44171"/>
    <w:rsid w:val="00C45ABA"/>
    <w:rsid w:val="00C5126E"/>
    <w:rsid w:val="00C63DFF"/>
    <w:rsid w:val="00C775A7"/>
    <w:rsid w:val="00C95BC1"/>
    <w:rsid w:val="00CE17AB"/>
    <w:rsid w:val="00CE45E4"/>
    <w:rsid w:val="00CE4B42"/>
    <w:rsid w:val="00D2743A"/>
    <w:rsid w:val="00D40703"/>
    <w:rsid w:val="00D42452"/>
    <w:rsid w:val="00D5628E"/>
    <w:rsid w:val="00D676CA"/>
    <w:rsid w:val="00D73DFB"/>
    <w:rsid w:val="00D877A2"/>
    <w:rsid w:val="00D97A86"/>
    <w:rsid w:val="00DA1D49"/>
    <w:rsid w:val="00DB77BF"/>
    <w:rsid w:val="00DF6D15"/>
    <w:rsid w:val="00E12E06"/>
    <w:rsid w:val="00E339C1"/>
    <w:rsid w:val="00E6214C"/>
    <w:rsid w:val="00E6347C"/>
    <w:rsid w:val="00E724BE"/>
    <w:rsid w:val="00E8429A"/>
    <w:rsid w:val="00E86E51"/>
    <w:rsid w:val="00E90921"/>
    <w:rsid w:val="00EA5AD4"/>
    <w:rsid w:val="00EB1C9B"/>
    <w:rsid w:val="00EB5567"/>
    <w:rsid w:val="00EC217A"/>
    <w:rsid w:val="00F060C4"/>
    <w:rsid w:val="00F24497"/>
    <w:rsid w:val="00F46BDB"/>
    <w:rsid w:val="00F4719D"/>
    <w:rsid w:val="00F54B4D"/>
    <w:rsid w:val="00F64102"/>
    <w:rsid w:val="00F97098"/>
    <w:rsid w:val="00FB00F4"/>
    <w:rsid w:val="00FB2B17"/>
    <w:rsid w:val="00FC7A2A"/>
    <w:rsid w:val="00FE040E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51E3F"/>
  <w15:chartTrackingRefBased/>
  <w15:docId w15:val="{C1ED8DFD-C9DC-4B20-B863-71FE0138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  <w:style w:type="table" w:styleId="TableGrid">
    <w:name w:val="Table Grid"/>
    <w:basedOn w:val="TableNormal"/>
    <w:uiPriority w:val="39"/>
    <w:rsid w:val="004D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6025D15641D48B92ABFC588AEAF6C" ma:contentTypeVersion="4" ma:contentTypeDescription="Create a new document." ma:contentTypeScope="" ma:versionID="fe2487a015a559ba136af03b518295b1">
  <xsd:schema xmlns:xsd="http://www.w3.org/2001/XMLSchema" xmlns:xs="http://www.w3.org/2001/XMLSchema" xmlns:p="http://schemas.microsoft.com/office/2006/metadata/properties" xmlns:ns3="1d24b2dd-f274-48ac-b8fc-68a5d941a9a3" targetNamespace="http://schemas.microsoft.com/office/2006/metadata/properties" ma:root="true" ma:fieldsID="51049a49610a1e48436b66f1d866f99c" ns3:_="">
    <xsd:import namespace="1d24b2dd-f274-48ac-b8fc-68a5d941a9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b2dd-f274-48ac-b8fc-68a5d941a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3B29A-5FCA-48D7-B32E-D75EF05F4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A397C-45D8-42C2-A1E4-8FDBE1CB3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EB6F2-B4A3-413D-8ED6-B8CEC9B3E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CB45B-ABA2-4C10-912C-57F09AD41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b2dd-f274-48ac-b8fc-68a5d941a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 and Essex Police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 Mayston DC 42070758</dc:creator>
  <cp:keywords/>
  <dc:description/>
  <cp:lastModifiedBy>Rhona Jermyn</cp:lastModifiedBy>
  <cp:revision>19</cp:revision>
  <dcterms:created xsi:type="dcterms:W3CDTF">2021-05-19T07:29:00Z</dcterms:created>
  <dcterms:modified xsi:type="dcterms:W3CDTF">2021-05-19T07:42:00Z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Abbe.Mayston@essex.police.uk</vt:lpwstr>
  </property>
  <property fmtid="{D5CDD505-2E9C-101B-9397-08002B2CF9AE}" pid="5" name="MSIP_Label_8f716d1d-13e1-4569-9dd0-bef6621415c1_SetDate">
    <vt:lpwstr>2021-01-04T17:17:52.5126033Z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f89b7833-da27-46e3-9e6c-f53ae47158f6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0x010100A6D6025D15641D48B92ABFC588AEAF6C</vt:lpwstr>
  </property>
</Properties>
</file>